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39" w:rsidRDefault="0008245C">
      <w:pPr>
        <w:rPr>
          <w:sz w:val="16"/>
          <w:szCs w:val="16"/>
        </w:rPr>
      </w:pPr>
      <w:r>
        <w:rPr>
          <w:sz w:val="16"/>
          <w:szCs w:val="16"/>
          <w:u w:val="single"/>
        </w:rPr>
        <w:t>Cijfers die tellen voor Erpe-</w:t>
      </w:r>
      <w:bookmarkStart w:id="0" w:name="_GoBack"/>
      <w:bookmarkEnd w:id="0"/>
      <w:r w:rsidR="00A16E6A">
        <w:rPr>
          <w:sz w:val="16"/>
          <w:szCs w:val="16"/>
          <w:u w:val="single"/>
        </w:rPr>
        <w:t xml:space="preserve">Mere </w:t>
      </w:r>
      <w:r w:rsidR="0005220D">
        <w:rPr>
          <w:sz w:val="16"/>
          <w:szCs w:val="16"/>
          <w:u w:val="single"/>
        </w:rPr>
        <w:t>?</w:t>
      </w:r>
    </w:p>
    <w:p w:rsidR="00E74D50" w:rsidRPr="00517839" w:rsidRDefault="003405F9">
      <w:pPr>
        <w:rPr>
          <w:sz w:val="16"/>
          <w:szCs w:val="16"/>
        </w:rPr>
      </w:pPr>
      <w:r>
        <w:rPr>
          <w:sz w:val="16"/>
          <w:szCs w:val="16"/>
        </w:rPr>
        <w:t xml:space="preserve">Mijn grootste </w:t>
      </w:r>
      <w:r w:rsidR="00945808" w:rsidRPr="00517839">
        <w:rPr>
          <w:sz w:val="16"/>
          <w:szCs w:val="16"/>
        </w:rPr>
        <w:t xml:space="preserve">uitdaging bij het begin van deze legislatuur was  er voor te zorgen dat we </w:t>
      </w:r>
      <w:r>
        <w:rPr>
          <w:sz w:val="16"/>
          <w:szCs w:val="16"/>
        </w:rPr>
        <w:t xml:space="preserve">onze financiën onder controle hielden, meer nog, substantieel verbeterden. </w:t>
      </w:r>
    </w:p>
    <w:p w:rsidR="00945808" w:rsidRPr="00517839" w:rsidRDefault="00945808">
      <w:pPr>
        <w:rPr>
          <w:sz w:val="16"/>
          <w:szCs w:val="16"/>
        </w:rPr>
      </w:pPr>
      <w:r w:rsidRPr="00517839">
        <w:rPr>
          <w:sz w:val="16"/>
          <w:szCs w:val="16"/>
        </w:rPr>
        <w:t xml:space="preserve">Als schepen van personeel, goed voor zo’n 40 % van de uitgaven, en van financiën, </w:t>
      </w:r>
      <w:r w:rsidR="00A16E6A">
        <w:rPr>
          <w:sz w:val="16"/>
          <w:szCs w:val="16"/>
        </w:rPr>
        <w:t xml:space="preserve">waarvan de lasten </w:t>
      </w:r>
      <w:r w:rsidRPr="00517839">
        <w:rPr>
          <w:sz w:val="16"/>
          <w:szCs w:val="16"/>
        </w:rPr>
        <w:t>goed voor zo’n 10 % van de uitgaven</w:t>
      </w:r>
      <w:r w:rsidR="00875333" w:rsidRPr="00517839">
        <w:rPr>
          <w:sz w:val="16"/>
          <w:szCs w:val="16"/>
        </w:rPr>
        <w:t>,</w:t>
      </w:r>
      <w:r w:rsidRPr="00517839">
        <w:rPr>
          <w:sz w:val="16"/>
          <w:szCs w:val="16"/>
        </w:rPr>
        <w:t xml:space="preserve"> wist ik direct waarmee te beginnen.</w:t>
      </w:r>
      <w:r w:rsidR="003405F9">
        <w:rPr>
          <w:sz w:val="16"/>
          <w:szCs w:val="16"/>
        </w:rPr>
        <w:t xml:space="preserve"> We spreken hier per slot van rekening over 50 % van onze uitgaven. We kwamen zonder het zelf te beseffen </w:t>
      </w:r>
      <w:r w:rsidR="00A16E6A">
        <w:rPr>
          <w:sz w:val="16"/>
          <w:szCs w:val="16"/>
        </w:rPr>
        <w:t xml:space="preserve">met beide diensten </w:t>
      </w:r>
      <w:r w:rsidR="003405F9">
        <w:rPr>
          <w:sz w:val="16"/>
          <w:szCs w:val="16"/>
        </w:rPr>
        <w:t>in een voorbeeldfunctie terecht voor onze g</w:t>
      </w:r>
      <w:r w:rsidR="003405F9" w:rsidRPr="003405F9">
        <w:rPr>
          <w:sz w:val="16"/>
          <w:szCs w:val="16"/>
        </w:rPr>
        <w:t>emeente Erpe-Mere</w:t>
      </w:r>
      <w:r w:rsidR="003405F9">
        <w:rPr>
          <w:sz w:val="16"/>
          <w:szCs w:val="16"/>
        </w:rPr>
        <w:t xml:space="preserve">   </w:t>
      </w:r>
    </w:p>
    <w:p w:rsidR="00945808" w:rsidRPr="00517839" w:rsidRDefault="00945808">
      <w:pPr>
        <w:rPr>
          <w:sz w:val="16"/>
          <w:szCs w:val="16"/>
        </w:rPr>
      </w:pPr>
      <w:r w:rsidRPr="00517839">
        <w:rPr>
          <w:sz w:val="16"/>
          <w:szCs w:val="16"/>
        </w:rPr>
        <w:t xml:space="preserve">Wat blijkt nu, na 3 jaar of halfweg deze legislatuur, zijn we er in geslaagd onze personeelslasten terug te dringen met </w:t>
      </w:r>
      <w:r w:rsidR="00875333" w:rsidRPr="00A16E6A">
        <w:rPr>
          <w:b/>
          <w:sz w:val="16"/>
          <w:szCs w:val="16"/>
        </w:rPr>
        <w:t>497.066</w:t>
      </w:r>
      <w:r w:rsidRPr="00517839">
        <w:rPr>
          <w:sz w:val="16"/>
          <w:szCs w:val="16"/>
        </w:rPr>
        <w:t xml:space="preserve"> </w:t>
      </w:r>
      <w:r w:rsidRPr="00A16E6A">
        <w:rPr>
          <w:b/>
          <w:sz w:val="16"/>
          <w:szCs w:val="16"/>
        </w:rPr>
        <w:t>euro</w:t>
      </w:r>
      <w:r w:rsidRPr="00517839">
        <w:rPr>
          <w:sz w:val="16"/>
          <w:szCs w:val="16"/>
        </w:rPr>
        <w:t xml:space="preserve">, zie tabel hieronder. </w:t>
      </w:r>
    </w:p>
    <w:tbl>
      <w:tblPr>
        <w:tblW w:w="11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7"/>
        <w:gridCol w:w="10703"/>
      </w:tblGrid>
      <w:tr w:rsidR="00945808" w:rsidRPr="00945808" w:rsidTr="003405F9">
        <w:trPr>
          <w:trHeight w:val="24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808" w:rsidRPr="00945808" w:rsidRDefault="00945808" w:rsidP="00945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07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808" w:rsidRPr="00945808" w:rsidRDefault="00945808" w:rsidP="00945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945808" w:rsidRPr="00945808" w:rsidTr="00DF11C1">
        <w:trPr>
          <w:trHeight w:val="230"/>
        </w:trPr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808" w:rsidRPr="003405F9" w:rsidRDefault="00945808" w:rsidP="00945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3405F9">
              <w:rPr>
                <w:rFonts w:ascii="Corbel" w:eastAsia="Times New Roman" w:hAnsi="Corbel" w:cs="Arial"/>
                <w:color w:val="000000" w:themeColor="dark1"/>
                <w:kern w:val="24"/>
                <w:sz w:val="16"/>
                <w:szCs w:val="16"/>
                <w:lang w:eastAsia="nl-BE"/>
              </w:rPr>
              <w:t>2012</w:t>
            </w:r>
          </w:p>
        </w:tc>
        <w:tc>
          <w:tcPr>
            <w:tcW w:w="107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808" w:rsidRPr="003405F9" w:rsidRDefault="00945808" w:rsidP="005F36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3405F9">
              <w:rPr>
                <w:rFonts w:ascii="Corbel" w:eastAsiaTheme="minorEastAsia" w:hAnsi="Corbel"/>
                <w:b/>
                <w:bCs/>
                <w:color w:val="000000" w:themeColor="dark1"/>
                <w:kern w:val="24"/>
                <w:sz w:val="16"/>
                <w:szCs w:val="16"/>
                <w:lang w:eastAsia="nl-BE"/>
              </w:rPr>
              <w:t>€ 6.754.564</w:t>
            </w:r>
          </w:p>
        </w:tc>
      </w:tr>
      <w:tr w:rsidR="00945808" w:rsidRPr="00945808" w:rsidTr="00DF11C1">
        <w:trPr>
          <w:trHeight w:val="248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808" w:rsidRPr="003405F9" w:rsidRDefault="00945808" w:rsidP="00945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3405F9">
              <w:rPr>
                <w:rFonts w:ascii="Corbel" w:eastAsia="Times New Roman" w:hAnsi="Corbel" w:cs="Arial"/>
                <w:color w:val="000000" w:themeColor="dark1"/>
                <w:kern w:val="24"/>
                <w:sz w:val="16"/>
                <w:szCs w:val="16"/>
                <w:lang w:eastAsia="nl-BE"/>
              </w:rPr>
              <w:t>2013</w:t>
            </w:r>
          </w:p>
        </w:tc>
        <w:tc>
          <w:tcPr>
            <w:tcW w:w="10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808" w:rsidRPr="003405F9" w:rsidRDefault="00945808" w:rsidP="005F36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3405F9">
              <w:rPr>
                <w:rFonts w:ascii="Corbel" w:eastAsiaTheme="minorEastAsia" w:hAnsi="Corbel"/>
                <w:b/>
                <w:bCs/>
                <w:color w:val="000000" w:themeColor="dark1"/>
                <w:kern w:val="24"/>
                <w:sz w:val="16"/>
                <w:szCs w:val="16"/>
                <w:lang w:eastAsia="nl-BE"/>
              </w:rPr>
              <w:t>€ 6.628.213</w:t>
            </w:r>
          </w:p>
        </w:tc>
      </w:tr>
      <w:tr w:rsidR="00945808" w:rsidRPr="00945808" w:rsidTr="00DF11C1">
        <w:trPr>
          <w:trHeight w:val="254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808" w:rsidRPr="003405F9" w:rsidRDefault="00945808" w:rsidP="00945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3405F9">
              <w:rPr>
                <w:rFonts w:ascii="Corbel" w:eastAsia="Times New Roman" w:hAnsi="Corbel" w:cs="Arial"/>
                <w:color w:val="000000" w:themeColor="dark1"/>
                <w:kern w:val="24"/>
                <w:sz w:val="16"/>
                <w:szCs w:val="16"/>
                <w:lang w:eastAsia="nl-BE"/>
              </w:rPr>
              <w:t>2014</w:t>
            </w:r>
          </w:p>
        </w:tc>
        <w:tc>
          <w:tcPr>
            <w:tcW w:w="10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808" w:rsidRPr="003405F9" w:rsidRDefault="00945808" w:rsidP="005F36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3405F9">
              <w:rPr>
                <w:rFonts w:ascii="Corbel" w:eastAsiaTheme="minorEastAsia" w:hAnsi="Corbel"/>
                <w:b/>
                <w:bCs/>
                <w:color w:val="000000" w:themeColor="dark1"/>
                <w:kern w:val="24"/>
                <w:sz w:val="16"/>
                <w:szCs w:val="16"/>
                <w:lang w:eastAsia="nl-BE"/>
              </w:rPr>
              <w:t>€ 6.570.356</w:t>
            </w:r>
          </w:p>
        </w:tc>
      </w:tr>
      <w:tr w:rsidR="00945808" w:rsidRPr="00945808" w:rsidTr="00DF11C1">
        <w:trPr>
          <w:trHeight w:val="273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808" w:rsidRPr="003405F9" w:rsidRDefault="00945808" w:rsidP="00945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3405F9">
              <w:rPr>
                <w:rFonts w:ascii="Corbel" w:eastAsia="Times New Roman" w:hAnsi="Corbel" w:cs="Arial"/>
                <w:color w:val="000000" w:themeColor="dark1"/>
                <w:kern w:val="24"/>
                <w:sz w:val="16"/>
                <w:szCs w:val="16"/>
                <w:lang w:eastAsia="nl-BE"/>
              </w:rPr>
              <w:t>2015</w:t>
            </w:r>
          </w:p>
        </w:tc>
        <w:tc>
          <w:tcPr>
            <w:tcW w:w="10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808" w:rsidRPr="003405F9" w:rsidRDefault="00945808" w:rsidP="005F36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3405F9">
              <w:rPr>
                <w:rFonts w:ascii="Corbel" w:eastAsia="Times New Roman" w:hAnsi="Corbel" w:cs="Arial"/>
                <w:color w:val="000000" w:themeColor="dark1"/>
                <w:kern w:val="24"/>
                <w:sz w:val="16"/>
                <w:szCs w:val="16"/>
                <w:lang w:eastAsia="nl-BE"/>
              </w:rPr>
              <w:t xml:space="preserve">€ </w:t>
            </w:r>
            <w:r w:rsidRPr="003405F9">
              <w:rPr>
                <w:rFonts w:ascii="Corbel" w:eastAsia="Times New Roman" w:hAnsi="Corbel" w:cs="Arial"/>
                <w:b/>
                <w:bCs/>
                <w:color w:val="000000" w:themeColor="dark1"/>
                <w:kern w:val="24"/>
                <w:sz w:val="16"/>
                <w:szCs w:val="16"/>
                <w:lang w:eastAsia="nl-BE"/>
              </w:rPr>
              <w:t>6.257.498</w:t>
            </w:r>
          </w:p>
        </w:tc>
      </w:tr>
    </w:tbl>
    <w:p w:rsidR="00945808" w:rsidRPr="00517839" w:rsidRDefault="00A16E6A" w:rsidP="00945808">
      <w:pPr>
        <w:rPr>
          <w:sz w:val="16"/>
          <w:szCs w:val="16"/>
        </w:rPr>
      </w:pPr>
      <w:r>
        <w:rPr>
          <w:sz w:val="16"/>
          <w:szCs w:val="16"/>
        </w:rPr>
        <w:t>Een volgende tabel</w:t>
      </w:r>
      <w:r w:rsidR="005F36E5" w:rsidRPr="00517839">
        <w:rPr>
          <w:sz w:val="16"/>
          <w:szCs w:val="16"/>
        </w:rPr>
        <w:t xml:space="preserve"> toont ons de evolutie van de schulden en de periodiek</w:t>
      </w:r>
      <w:r w:rsidR="00875333" w:rsidRPr="00517839">
        <w:rPr>
          <w:sz w:val="16"/>
          <w:szCs w:val="16"/>
        </w:rPr>
        <w:t>e</w:t>
      </w:r>
      <w:r w:rsidR="005F36E5" w:rsidRPr="00517839">
        <w:rPr>
          <w:sz w:val="16"/>
          <w:szCs w:val="16"/>
        </w:rPr>
        <w:t xml:space="preserve"> lasten.</w:t>
      </w:r>
      <w:r w:rsidR="00875333" w:rsidRPr="00517839">
        <w:rPr>
          <w:sz w:val="16"/>
          <w:szCs w:val="16"/>
        </w:rPr>
        <w:t xml:space="preserve">  Ook hier een daling met maar liefst </w:t>
      </w:r>
      <w:r w:rsidRPr="00A16E6A">
        <w:rPr>
          <w:b/>
          <w:sz w:val="16"/>
          <w:szCs w:val="16"/>
        </w:rPr>
        <w:t>564.944</w:t>
      </w:r>
      <w:r w:rsidR="00875333" w:rsidRPr="00A16E6A">
        <w:rPr>
          <w:b/>
          <w:sz w:val="16"/>
          <w:szCs w:val="16"/>
        </w:rPr>
        <w:t xml:space="preserve"> euro</w:t>
      </w:r>
      <w:r w:rsidR="00875333" w:rsidRPr="00517839">
        <w:rPr>
          <w:sz w:val="16"/>
          <w:szCs w:val="16"/>
        </w:rPr>
        <w:t xml:space="preserve"> in de periodieke lasten. Schuld</w:t>
      </w:r>
      <w:r w:rsidR="004B40AF">
        <w:rPr>
          <w:sz w:val="16"/>
          <w:szCs w:val="16"/>
        </w:rPr>
        <w:t xml:space="preserve"> zelf </w:t>
      </w:r>
      <w:r w:rsidR="00875333" w:rsidRPr="00517839">
        <w:rPr>
          <w:sz w:val="16"/>
          <w:szCs w:val="16"/>
        </w:rPr>
        <w:t xml:space="preserve">is afgenomen met 4.108.376 euro.  In tijden van crisis wegen schulden zeer zwaar door. Daarom is het noodzakelijk om een langdurige verlaging van de schuld te bewerkstelligen. </w:t>
      </w:r>
    </w:p>
    <w:tbl>
      <w:tblPr>
        <w:tblW w:w="125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"/>
        <w:gridCol w:w="813"/>
        <w:gridCol w:w="818"/>
        <w:gridCol w:w="444"/>
        <w:gridCol w:w="368"/>
        <w:gridCol w:w="42"/>
        <w:gridCol w:w="1152"/>
        <w:gridCol w:w="1134"/>
        <w:gridCol w:w="1134"/>
        <w:gridCol w:w="1276"/>
        <w:gridCol w:w="1275"/>
        <w:gridCol w:w="1276"/>
        <w:gridCol w:w="1570"/>
        <w:gridCol w:w="1158"/>
      </w:tblGrid>
      <w:tr w:rsidR="005F36E5" w:rsidRPr="00945808" w:rsidTr="005F36E5">
        <w:trPr>
          <w:trHeight w:val="382"/>
        </w:trPr>
        <w:tc>
          <w:tcPr>
            <w:tcW w:w="213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45808" w:rsidRPr="00945808" w:rsidRDefault="005F36E5" w:rsidP="0094580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6"/>
                <w:szCs w:val="16"/>
                <w:u w:val="single"/>
                <w:lang w:eastAsia="nl-BE"/>
              </w:rPr>
              <w:t xml:space="preserve"> Een daling van </w:t>
            </w:r>
            <w:r w:rsidR="00945808" w:rsidRPr="00945808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6"/>
                <w:szCs w:val="16"/>
                <w:u w:val="single"/>
                <w:lang w:eastAsia="nl-BE"/>
              </w:rPr>
              <w:t>Financiële schulden ten laste van het bestuur</w:t>
            </w:r>
          </w:p>
        </w:tc>
        <w:tc>
          <w:tcPr>
            <w:tcW w:w="156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45808" w:rsidRPr="00945808" w:rsidRDefault="00945808" w:rsidP="0094580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945808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6"/>
                <w:szCs w:val="16"/>
                <w:u w:val="single"/>
                <w:lang w:eastAsia="nl-BE"/>
              </w:rPr>
              <w:t>2012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45808" w:rsidRPr="00945808" w:rsidRDefault="00945808" w:rsidP="0094580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945808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6"/>
                <w:szCs w:val="16"/>
                <w:u w:val="single"/>
                <w:lang w:eastAsia="nl-BE"/>
              </w:rPr>
              <w:t>2013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45808" w:rsidRPr="00945808" w:rsidRDefault="00945808" w:rsidP="0094580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945808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6"/>
                <w:szCs w:val="16"/>
                <w:u w:val="single"/>
                <w:lang w:eastAsia="nl-BE"/>
              </w:rPr>
              <w:t>2014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45808" w:rsidRPr="00945808" w:rsidRDefault="00945808" w:rsidP="0094580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945808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6"/>
                <w:szCs w:val="16"/>
                <w:u w:val="single"/>
                <w:lang w:eastAsia="nl-BE"/>
              </w:rPr>
              <w:t>2015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45808" w:rsidRPr="00945808" w:rsidRDefault="00945808" w:rsidP="0094580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945808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6"/>
                <w:szCs w:val="16"/>
                <w:u w:val="single"/>
                <w:lang w:eastAsia="nl-BE"/>
              </w:rPr>
              <w:t>2016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45808" w:rsidRPr="00945808" w:rsidRDefault="00945808" w:rsidP="0094580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945808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6"/>
                <w:szCs w:val="16"/>
                <w:u w:val="single"/>
                <w:lang w:eastAsia="nl-BE"/>
              </w:rPr>
              <w:t>2017</w:t>
            </w:r>
          </w:p>
        </w:tc>
        <w:tc>
          <w:tcPr>
            <w:tcW w:w="1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945808" w:rsidRPr="00945808" w:rsidRDefault="00945808" w:rsidP="0094580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45808" w:rsidRPr="00945808" w:rsidRDefault="00945808" w:rsidP="0094580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945808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6"/>
                <w:szCs w:val="16"/>
                <w:u w:val="single"/>
                <w:lang w:eastAsia="nl-BE"/>
              </w:rPr>
              <w:t>9</w:t>
            </w:r>
          </w:p>
        </w:tc>
      </w:tr>
      <w:tr w:rsidR="005F36E5" w:rsidRPr="00945808" w:rsidTr="005F36E5">
        <w:trPr>
          <w:trHeight w:val="382"/>
        </w:trPr>
        <w:tc>
          <w:tcPr>
            <w:tcW w:w="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45808" w:rsidRPr="00945808" w:rsidRDefault="00945808" w:rsidP="00945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45808" w:rsidRPr="00945808" w:rsidRDefault="00945808" w:rsidP="00945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45808" w:rsidRPr="00945808" w:rsidRDefault="00945808" w:rsidP="00945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  <w:tc>
          <w:tcPr>
            <w:tcW w:w="8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45808" w:rsidRPr="00945808" w:rsidRDefault="00945808" w:rsidP="00945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  <w:tc>
          <w:tcPr>
            <w:tcW w:w="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45808" w:rsidRPr="00945808" w:rsidRDefault="00945808" w:rsidP="00945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  <w:tc>
          <w:tcPr>
            <w:tcW w:w="1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45808" w:rsidRPr="00945808" w:rsidRDefault="00945808" w:rsidP="0094580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945808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45808" w:rsidRPr="00945808" w:rsidRDefault="00945808" w:rsidP="0094580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945808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45808" w:rsidRPr="00945808" w:rsidRDefault="00945808" w:rsidP="00945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45808" w:rsidRPr="00945808" w:rsidRDefault="00945808" w:rsidP="0094580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945808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45808" w:rsidRPr="00945808" w:rsidRDefault="00945808" w:rsidP="00945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45808" w:rsidRPr="00945808" w:rsidRDefault="00945808" w:rsidP="0094580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945808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945808" w:rsidRPr="00945808" w:rsidRDefault="00945808" w:rsidP="00945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45808" w:rsidRPr="00945808" w:rsidRDefault="00945808" w:rsidP="0094580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945808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6"/>
                <w:szCs w:val="16"/>
                <w:lang w:eastAsia="nl-BE"/>
              </w:rPr>
              <w:t> </w:t>
            </w:r>
          </w:p>
        </w:tc>
      </w:tr>
      <w:tr w:rsidR="005F36E5" w:rsidRPr="00945808" w:rsidTr="005F36E5">
        <w:trPr>
          <w:trHeight w:val="382"/>
        </w:trPr>
        <w:tc>
          <w:tcPr>
            <w:tcW w:w="250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45808" w:rsidRPr="00945808" w:rsidRDefault="00945808" w:rsidP="0094580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945808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6"/>
                <w:szCs w:val="16"/>
                <w:lang w:eastAsia="nl-BE"/>
              </w:rPr>
              <w:t>Financiële schulden op 1 januari</w:t>
            </w:r>
          </w:p>
        </w:tc>
        <w:tc>
          <w:tcPr>
            <w:tcW w:w="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45808" w:rsidRPr="00945808" w:rsidRDefault="00945808" w:rsidP="00945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  <w:tc>
          <w:tcPr>
            <w:tcW w:w="1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45808" w:rsidRPr="00945808" w:rsidRDefault="00945808" w:rsidP="0087533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945808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6"/>
                <w:szCs w:val="16"/>
                <w:lang w:eastAsia="nl-BE"/>
              </w:rPr>
              <w:t>10.320.451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45808" w:rsidRPr="00945808" w:rsidRDefault="00945808" w:rsidP="0087533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945808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6"/>
                <w:szCs w:val="16"/>
                <w:lang w:eastAsia="nl-BE"/>
              </w:rPr>
              <w:t>9.218.990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45808" w:rsidRPr="00945808" w:rsidRDefault="00945808" w:rsidP="0087533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945808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6"/>
                <w:szCs w:val="16"/>
                <w:lang w:eastAsia="nl-BE"/>
              </w:rPr>
              <w:t>8.111.767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45808" w:rsidRPr="00945808" w:rsidRDefault="00945808" w:rsidP="0087533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945808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6"/>
                <w:szCs w:val="16"/>
                <w:lang w:eastAsia="nl-BE"/>
              </w:rPr>
              <w:t>7.124.495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45808" w:rsidRPr="00945808" w:rsidRDefault="00945808" w:rsidP="0087533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945808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6"/>
                <w:szCs w:val="16"/>
                <w:lang w:eastAsia="nl-BE"/>
              </w:rPr>
              <w:t>6.212.075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45808" w:rsidRPr="00945808" w:rsidRDefault="00945808" w:rsidP="0087533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945808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6"/>
                <w:szCs w:val="16"/>
                <w:lang w:eastAsia="nl-BE"/>
              </w:rPr>
              <w:t>6.767.595</w:t>
            </w:r>
          </w:p>
        </w:tc>
        <w:tc>
          <w:tcPr>
            <w:tcW w:w="1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945808" w:rsidRPr="00945808" w:rsidRDefault="00945808" w:rsidP="0094580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45808" w:rsidRPr="00945808" w:rsidRDefault="00945808" w:rsidP="0094580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945808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6"/>
                <w:szCs w:val="16"/>
                <w:lang w:eastAsia="nl-BE"/>
              </w:rPr>
              <w:t>6.734.494,63</w:t>
            </w:r>
          </w:p>
        </w:tc>
      </w:tr>
      <w:tr w:rsidR="005F36E5" w:rsidRPr="005F36E5" w:rsidTr="005F36E5">
        <w:trPr>
          <w:trHeight w:val="382"/>
        </w:trPr>
        <w:tc>
          <w:tcPr>
            <w:tcW w:w="169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5F36E5" w:rsidRPr="005F36E5" w:rsidRDefault="005F36E5" w:rsidP="005F36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  <w:r w:rsidRPr="005F36E5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6"/>
                <w:szCs w:val="16"/>
                <w:lang w:eastAsia="nl-BE"/>
              </w:rPr>
              <w:t>Periodieke leningslasten</w:t>
            </w:r>
          </w:p>
        </w:tc>
        <w:tc>
          <w:tcPr>
            <w:tcW w:w="8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5F36E5" w:rsidRPr="005F36E5" w:rsidRDefault="005F36E5" w:rsidP="005F36E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  <w:tc>
          <w:tcPr>
            <w:tcW w:w="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5F36E5" w:rsidRPr="005F36E5" w:rsidRDefault="005F36E5" w:rsidP="005F36E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  <w:tc>
          <w:tcPr>
            <w:tcW w:w="1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5F36E5" w:rsidRPr="005F36E5" w:rsidRDefault="005F36E5" w:rsidP="0087533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  <w:r w:rsidRPr="005F36E5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6"/>
                <w:szCs w:val="16"/>
                <w:lang w:eastAsia="nl-BE"/>
              </w:rPr>
              <w:t>1.572.620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5F36E5" w:rsidRPr="005F36E5" w:rsidRDefault="005F36E5" w:rsidP="0087533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  <w:r w:rsidRPr="005F36E5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6"/>
                <w:szCs w:val="16"/>
                <w:lang w:eastAsia="nl-BE"/>
              </w:rPr>
              <w:t>1.496.786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5F36E5" w:rsidRPr="005F36E5" w:rsidRDefault="005F36E5" w:rsidP="0087533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  <w:r w:rsidRPr="005F36E5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6"/>
                <w:szCs w:val="16"/>
                <w:lang w:eastAsia="nl-BE"/>
              </w:rPr>
              <w:t>1.269.151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5F36E5" w:rsidRPr="005F36E5" w:rsidRDefault="005F36E5" w:rsidP="0087533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  <w:r w:rsidRPr="005F36E5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6"/>
                <w:szCs w:val="16"/>
                <w:lang w:eastAsia="nl-BE"/>
              </w:rPr>
              <w:t>1.140.668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5F36E5" w:rsidRPr="005F36E5" w:rsidRDefault="005F36E5" w:rsidP="0087533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  <w:r w:rsidRPr="005F36E5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6"/>
                <w:szCs w:val="16"/>
                <w:lang w:eastAsia="nl-BE"/>
              </w:rPr>
              <w:t>1.007.676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5F36E5" w:rsidRPr="005F36E5" w:rsidRDefault="005F36E5" w:rsidP="0087533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  <w:r w:rsidRPr="005F36E5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6"/>
                <w:szCs w:val="16"/>
                <w:lang w:eastAsia="nl-BE"/>
              </w:rPr>
              <w:t>941.531</w:t>
            </w:r>
          </w:p>
        </w:tc>
        <w:tc>
          <w:tcPr>
            <w:tcW w:w="1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5F36E5" w:rsidRPr="005F36E5" w:rsidRDefault="005F36E5" w:rsidP="005F36E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5F36E5" w:rsidRPr="005F36E5" w:rsidRDefault="005F36E5" w:rsidP="005F36E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  <w:r w:rsidRPr="005F36E5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6"/>
                <w:szCs w:val="16"/>
                <w:lang w:eastAsia="nl-BE"/>
              </w:rPr>
              <w:t>792.938,07</w:t>
            </w:r>
          </w:p>
        </w:tc>
      </w:tr>
    </w:tbl>
    <w:p w:rsidR="00875333" w:rsidRDefault="00875333" w:rsidP="00945808">
      <w:pPr>
        <w:rPr>
          <w:sz w:val="16"/>
          <w:szCs w:val="16"/>
        </w:rPr>
      </w:pPr>
    </w:p>
    <w:p w:rsidR="00F670F6" w:rsidRDefault="00DF11C1" w:rsidP="00945808">
      <w:pPr>
        <w:rPr>
          <w:sz w:val="16"/>
          <w:szCs w:val="16"/>
        </w:rPr>
      </w:pPr>
      <w:r>
        <w:rPr>
          <w:sz w:val="16"/>
          <w:szCs w:val="16"/>
        </w:rPr>
        <w:t xml:space="preserve">Beide inspanningen samen geven extra ruimte van </w:t>
      </w:r>
      <w:r w:rsidRPr="00A16E6A">
        <w:rPr>
          <w:b/>
          <w:sz w:val="16"/>
          <w:szCs w:val="16"/>
        </w:rPr>
        <w:t>1.</w:t>
      </w:r>
      <w:r w:rsidR="00A16E6A">
        <w:rPr>
          <w:b/>
          <w:sz w:val="16"/>
          <w:szCs w:val="16"/>
        </w:rPr>
        <w:t>062</w:t>
      </w:r>
      <w:r w:rsidRPr="00A16E6A">
        <w:rPr>
          <w:b/>
          <w:sz w:val="16"/>
          <w:szCs w:val="16"/>
        </w:rPr>
        <w:t>.</w:t>
      </w:r>
      <w:r w:rsidR="00A16E6A">
        <w:rPr>
          <w:b/>
          <w:sz w:val="16"/>
          <w:szCs w:val="16"/>
        </w:rPr>
        <w:t>010</w:t>
      </w:r>
      <w:r w:rsidRPr="00A16E6A">
        <w:rPr>
          <w:b/>
          <w:sz w:val="16"/>
          <w:szCs w:val="16"/>
        </w:rPr>
        <w:t xml:space="preserve"> euro</w:t>
      </w:r>
      <w:r>
        <w:rPr>
          <w:sz w:val="16"/>
          <w:szCs w:val="16"/>
        </w:rPr>
        <w:t xml:space="preserve">. </w:t>
      </w:r>
      <w:r w:rsidR="00F670F6">
        <w:rPr>
          <w:sz w:val="16"/>
          <w:szCs w:val="16"/>
        </w:rPr>
        <w:t>Deze inspanningen zijn</w:t>
      </w:r>
      <w:r w:rsidR="00875333">
        <w:rPr>
          <w:sz w:val="16"/>
          <w:szCs w:val="16"/>
        </w:rPr>
        <w:t xml:space="preserve"> structureel en werp</w:t>
      </w:r>
      <w:r w:rsidR="00F670F6">
        <w:rPr>
          <w:sz w:val="16"/>
          <w:szCs w:val="16"/>
        </w:rPr>
        <w:t>en</w:t>
      </w:r>
      <w:r w:rsidR="00875333">
        <w:rPr>
          <w:sz w:val="16"/>
          <w:szCs w:val="16"/>
        </w:rPr>
        <w:t xml:space="preserve"> </w:t>
      </w:r>
      <w:r w:rsidR="00F670F6">
        <w:rPr>
          <w:sz w:val="16"/>
          <w:szCs w:val="16"/>
        </w:rPr>
        <w:t xml:space="preserve">dus </w:t>
      </w:r>
      <w:r w:rsidR="00875333">
        <w:rPr>
          <w:sz w:val="16"/>
          <w:szCs w:val="16"/>
        </w:rPr>
        <w:t xml:space="preserve">jaar na jaar </w:t>
      </w:r>
      <w:r w:rsidR="00F670F6">
        <w:rPr>
          <w:sz w:val="16"/>
          <w:szCs w:val="16"/>
        </w:rPr>
        <w:t>hun</w:t>
      </w:r>
      <w:r w:rsidR="00875333">
        <w:rPr>
          <w:sz w:val="16"/>
          <w:szCs w:val="16"/>
        </w:rPr>
        <w:t xml:space="preserve"> vruchten af.  </w:t>
      </w:r>
      <w:r>
        <w:rPr>
          <w:sz w:val="16"/>
          <w:szCs w:val="16"/>
        </w:rPr>
        <w:t xml:space="preserve">Ondertussen blijven </w:t>
      </w:r>
      <w:r w:rsidR="003405F9">
        <w:rPr>
          <w:sz w:val="16"/>
          <w:szCs w:val="16"/>
        </w:rPr>
        <w:t xml:space="preserve">ook nog </w:t>
      </w:r>
      <w:r>
        <w:rPr>
          <w:sz w:val="16"/>
          <w:szCs w:val="16"/>
        </w:rPr>
        <w:t xml:space="preserve">onze inkomsten stijgen.  Erpe Mere krijgt zo meer en meer ruimte om te investeren, wat ook zal gebeuren in de tweede helft van deze legislatuur.   </w:t>
      </w:r>
    </w:p>
    <w:p w:rsidR="00875333" w:rsidRDefault="00F670F6" w:rsidP="00945808">
      <w:pPr>
        <w:rPr>
          <w:sz w:val="16"/>
          <w:szCs w:val="16"/>
        </w:rPr>
      </w:pPr>
      <w:r>
        <w:rPr>
          <w:sz w:val="16"/>
          <w:szCs w:val="16"/>
        </w:rPr>
        <w:t xml:space="preserve">Het werk is natuurlijk </w:t>
      </w:r>
      <w:r w:rsidR="00DF11C1">
        <w:rPr>
          <w:sz w:val="16"/>
          <w:szCs w:val="16"/>
        </w:rPr>
        <w:t xml:space="preserve">nooit </w:t>
      </w:r>
      <w:r>
        <w:rPr>
          <w:sz w:val="16"/>
          <w:szCs w:val="16"/>
        </w:rPr>
        <w:t>af, ook al is er ondertussen al op veel diensten een gezonde reflex ontstaan</w:t>
      </w:r>
      <w:r w:rsidR="00517839">
        <w:rPr>
          <w:sz w:val="16"/>
          <w:szCs w:val="16"/>
        </w:rPr>
        <w:t xml:space="preserve"> :</w:t>
      </w:r>
      <w:r>
        <w:rPr>
          <w:sz w:val="16"/>
          <w:szCs w:val="16"/>
        </w:rPr>
        <w:t xml:space="preserve"> zijn we goed bezig of kan het anders ? Efficiënter</w:t>
      </w:r>
      <w:r w:rsidR="00875333">
        <w:rPr>
          <w:sz w:val="16"/>
          <w:szCs w:val="16"/>
        </w:rPr>
        <w:t xml:space="preserve"> </w:t>
      </w:r>
      <w:r>
        <w:rPr>
          <w:sz w:val="16"/>
          <w:szCs w:val="16"/>
        </w:rPr>
        <w:t>( de dingen juist doen ) en ook nog effectiever ( de juiste dingen doen ).</w:t>
      </w:r>
    </w:p>
    <w:p w:rsidR="00517839" w:rsidRDefault="00F670F6" w:rsidP="00945808">
      <w:pPr>
        <w:rPr>
          <w:sz w:val="16"/>
          <w:szCs w:val="16"/>
        </w:rPr>
      </w:pPr>
      <w:r>
        <w:rPr>
          <w:sz w:val="16"/>
          <w:szCs w:val="16"/>
        </w:rPr>
        <w:t xml:space="preserve">Samen blijven we zoeken naar betere structuren, procedures, allemaal met één doel : de burger nog beter dienen dan vroeger tegen een </w:t>
      </w:r>
      <w:r w:rsidR="00517839">
        <w:rPr>
          <w:sz w:val="16"/>
          <w:szCs w:val="16"/>
        </w:rPr>
        <w:t xml:space="preserve">maximaal </w:t>
      </w:r>
      <w:r>
        <w:rPr>
          <w:sz w:val="16"/>
          <w:szCs w:val="16"/>
        </w:rPr>
        <w:t>aanvaardbare prijs.</w:t>
      </w:r>
    </w:p>
    <w:tbl>
      <w:tblPr>
        <w:tblW w:w="1372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7"/>
        <w:gridCol w:w="1559"/>
        <w:gridCol w:w="1276"/>
        <w:gridCol w:w="1275"/>
        <w:gridCol w:w="6190"/>
        <w:gridCol w:w="2283"/>
      </w:tblGrid>
      <w:tr w:rsidR="00517839" w:rsidRPr="00517839" w:rsidTr="00517839">
        <w:trPr>
          <w:trHeight w:val="320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839" w:rsidRPr="003405F9" w:rsidRDefault="00517839" w:rsidP="005178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3405F9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sz w:val="16"/>
                <w:szCs w:val="16"/>
                <w:lang w:eastAsia="nl-BE"/>
              </w:rPr>
              <w:t>2015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839" w:rsidRPr="003405F9" w:rsidRDefault="00517839" w:rsidP="005178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3405F9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sz w:val="16"/>
                <w:szCs w:val="16"/>
                <w:lang w:eastAsia="nl-BE"/>
              </w:rPr>
              <w:t>Erpe-Mere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839" w:rsidRPr="003405F9" w:rsidRDefault="00517839" w:rsidP="005178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3405F9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sz w:val="16"/>
                <w:szCs w:val="16"/>
                <w:lang w:eastAsia="nl-BE"/>
              </w:rPr>
              <w:t>Herzele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839" w:rsidRPr="003405F9" w:rsidRDefault="00517839" w:rsidP="005178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3405F9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sz w:val="16"/>
                <w:szCs w:val="16"/>
                <w:lang w:eastAsia="nl-BE"/>
              </w:rPr>
              <w:t>Haaltert</w:t>
            </w:r>
          </w:p>
        </w:tc>
        <w:tc>
          <w:tcPr>
            <w:tcW w:w="61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839" w:rsidRPr="003405F9" w:rsidRDefault="00517839" w:rsidP="005178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3405F9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sz w:val="16"/>
                <w:szCs w:val="16"/>
                <w:lang w:eastAsia="nl-BE"/>
              </w:rPr>
              <w:t>S-L-</w:t>
            </w:r>
            <w:proofErr w:type="spellStart"/>
            <w:r w:rsidRPr="003405F9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sz w:val="16"/>
                <w:szCs w:val="16"/>
                <w:lang w:eastAsia="nl-BE"/>
              </w:rPr>
              <w:t>Houtem</w:t>
            </w:r>
            <w:proofErr w:type="spellEnd"/>
          </w:p>
        </w:tc>
        <w:tc>
          <w:tcPr>
            <w:tcW w:w="22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839" w:rsidRPr="00517839" w:rsidRDefault="00517839" w:rsidP="0051783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  <w:r w:rsidRPr="00517839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sz w:val="36"/>
                <w:szCs w:val="36"/>
                <w:lang w:eastAsia="nl-BE"/>
              </w:rPr>
              <w:t>Lede</w:t>
            </w:r>
          </w:p>
        </w:tc>
      </w:tr>
      <w:tr w:rsidR="00517839" w:rsidRPr="00517839" w:rsidTr="003405F9">
        <w:trPr>
          <w:trHeight w:val="323"/>
        </w:trPr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839" w:rsidRPr="003405F9" w:rsidRDefault="00517839" w:rsidP="0051783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l-BE"/>
              </w:rPr>
            </w:pPr>
            <w:proofErr w:type="spellStart"/>
            <w:r w:rsidRPr="003405F9">
              <w:rPr>
                <w:rFonts w:ascii="Corbel" w:eastAsia="Times New Roman" w:hAnsi="Corbel" w:cs="Arial"/>
                <w:b/>
                <w:color w:val="000000" w:themeColor="dark1"/>
                <w:kern w:val="24"/>
                <w:sz w:val="16"/>
                <w:szCs w:val="16"/>
                <w:lang w:eastAsia="nl-BE"/>
              </w:rPr>
              <w:t>Personen-belasting</w:t>
            </w:r>
            <w:proofErr w:type="spellEnd"/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839" w:rsidRPr="003405F9" w:rsidRDefault="00517839" w:rsidP="0051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3405F9">
              <w:rPr>
                <w:rFonts w:ascii="Corbel" w:eastAsia="Times New Roman" w:hAnsi="Corbel" w:cs="Arial"/>
                <w:color w:val="000000" w:themeColor="dark1"/>
                <w:kern w:val="24"/>
                <w:sz w:val="16"/>
                <w:szCs w:val="16"/>
                <w:lang w:eastAsia="nl-BE"/>
              </w:rPr>
              <w:t>7,00%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839" w:rsidRPr="003405F9" w:rsidRDefault="00517839" w:rsidP="0051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3405F9">
              <w:rPr>
                <w:rFonts w:ascii="Corbel" w:eastAsia="Times New Roman" w:hAnsi="Corbel" w:cs="Arial"/>
                <w:color w:val="000000" w:themeColor="dark1"/>
                <w:kern w:val="24"/>
                <w:sz w:val="16"/>
                <w:szCs w:val="16"/>
                <w:lang w:eastAsia="nl-BE"/>
              </w:rPr>
              <w:t>6,90%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839" w:rsidRPr="003405F9" w:rsidRDefault="00517839" w:rsidP="0051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3405F9">
              <w:rPr>
                <w:rFonts w:ascii="Corbel" w:eastAsia="Times New Roman" w:hAnsi="Corbel" w:cs="Arial"/>
                <w:color w:val="000000" w:themeColor="dark1"/>
                <w:kern w:val="24"/>
                <w:sz w:val="16"/>
                <w:szCs w:val="16"/>
                <w:lang w:eastAsia="nl-BE"/>
              </w:rPr>
              <w:t>7,50%</w:t>
            </w:r>
          </w:p>
        </w:tc>
        <w:tc>
          <w:tcPr>
            <w:tcW w:w="61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839" w:rsidRPr="003405F9" w:rsidRDefault="00517839" w:rsidP="005178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3405F9">
              <w:rPr>
                <w:rFonts w:ascii="Corbel" w:eastAsiaTheme="minorEastAsia" w:hAnsi="Corbel"/>
                <w:color w:val="000000" w:themeColor="dark1"/>
                <w:kern w:val="24"/>
                <w:sz w:val="16"/>
                <w:szCs w:val="16"/>
                <w:lang w:eastAsia="nl-BE"/>
              </w:rPr>
              <w:t>8,50%</w:t>
            </w:r>
          </w:p>
        </w:tc>
        <w:tc>
          <w:tcPr>
            <w:tcW w:w="22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839" w:rsidRPr="00517839" w:rsidRDefault="00517839" w:rsidP="0051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  <w:r w:rsidRPr="00517839">
              <w:rPr>
                <w:rFonts w:ascii="Corbel" w:eastAsia="Times New Roman" w:hAnsi="Corbel" w:cs="Arial"/>
                <w:color w:val="000000" w:themeColor="dark1"/>
                <w:kern w:val="24"/>
                <w:sz w:val="36"/>
                <w:szCs w:val="36"/>
                <w:lang w:eastAsia="nl-BE"/>
              </w:rPr>
              <w:t>7,90%</w:t>
            </w:r>
          </w:p>
        </w:tc>
      </w:tr>
      <w:tr w:rsidR="00517839" w:rsidRPr="00517839" w:rsidTr="003405F9">
        <w:trPr>
          <w:trHeight w:val="544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839" w:rsidRPr="003405F9" w:rsidRDefault="00517839" w:rsidP="00517839">
            <w:pPr>
              <w:spacing w:after="0" w:line="240" w:lineRule="auto"/>
              <w:rPr>
                <w:rFonts w:ascii="Corbel" w:eastAsia="Times New Roman" w:hAnsi="Corbel" w:cs="Arial"/>
                <w:b/>
                <w:color w:val="000000" w:themeColor="dark1"/>
                <w:kern w:val="24"/>
                <w:sz w:val="16"/>
                <w:szCs w:val="16"/>
                <w:lang w:eastAsia="nl-BE"/>
              </w:rPr>
            </w:pPr>
            <w:r w:rsidRPr="003405F9">
              <w:rPr>
                <w:rFonts w:ascii="Corbel" w:eastAsia="Times New Roman" w:hAnsi="Corbel" w:cs="Arial"/>
                <w:b/>
                <w:color w:val="000000" w:themeColor="dark1"/>
                <w:kern w:val="24"/>
                <w:sz w:val="16"/>
                <w:szCs w:val="16"/>
                <w:lang w:eastAsia="nl-BE"/>
              </w:rPr>
              <w:t>Onroerende</w:t>
            </w:r>
          </w:p>
          <w:p w:rsidR="00517839" w:rsidRPr="003405F9" w:rsidRDefault="00517839" w:rsidP="005178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3405F9">
              <w:rPr>
                <w:rFonts w:ascii="Corbel" w:eastAsia="Times New Roman" w:hAnsi="Corbel" w:cs="Arial"/>
                <w:b/>
                <w:color w:val="000000" w:themeColor="dark1"/>
                <w:kern w:val="24"/>
                <w:sz w:val="16"/>
                <w:szCs w:val="16"/>
                <w:lang w:eastAsia="nl-BE"/>
              </w:rPr>
              <w:t xml:space="preserve">voorheffing </w:t>
            </w:r>
            <w:proofErr w:type="spellStart"/>
            <w:r w:rsidRPr="003405F9">
              <w:rPr>
                <w:rFonts w:ascii="Corbel" w:eastAsia="Times New Roman" w:hAnsi="Corbel" w:cs="Arial"/>
                <w:b/>
                <w:color w:val="000000" w:themeColor="dark1"/>
                <w:kern w:val="24"/>
                <w:sz w:val="16"/>
                <w:szCs w:val="16"/>
                <w:lang w:eastAsia="nl-BE"/>
              </w:rPr>
              <w:t>opcentiem</w:t>
            </w:r>
            <w:proofErr w:type="spellEnd"/>
            <w:r w:rsidRPr="003405F9">
              <w:rPr>
                <w:rFonts w:ascii="Corbel" w:eastAsia="Times New Roman" w:hAnsi="Corbel" w:cs="Arial"/>
                <w:b/>
                <w:color w:val="000000" w:themeColor="dark1"/>
                <w:kern w:val="24"/>
                <w:sz w:val="16"/>
                <w:szCs w:val="16"/>
                <w:lang w:eastAsia="nl-BE"/>
              </w:rPr>
              <w:t>.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839" w:rsidRPr="003405F9" w:rsidRDefault="00517839" w:rsidP="0051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3405F9">
              <w:rPr>
                <w:rFonts w:ascii="Corbel" w:eastAsia="Times New Roman" w:hAnsi="Corbel" w:cs="Arial"/>
                <w:color w:val="000000" w:themeColor="dark1"/>
                <w:kern w:val="24"/>
                <w:sz w:val="16"/>
                <w:szCs w:val="16"/>
                <w:lang w:eastAsia="nl-BE"/>
              </w:rPr>
              <w:t>1200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839" w:rsidRPr="003405F9" w:rsidRDefault="00517839" w:rsidP="0051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3405F9">
              <w:rPr>
                <w:rFonts w:ascii="Corbel" w:eastAsia="Times New Roman" w:hAnsi="Corbel" w:cs="Arial"/>
                <w:color w:val="000000" w:themeColor="dark1"/>
                <w:kern w:val="24"/>
                <w:sz w:val="16"/>
                <w:szCs w:val="16"/>
                <w:lang w:eastAsia="nl-BE"/>
              </w:rPr>
              <w:t>1600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839" w:rsidRPr="003405F9" w:rsidRDefault="00517839" w:rsidP="0051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3405F9">
              <w:rPr>
                <w:rFonts w:ascii="Corbel" w:eastAsia="Times New Roman" w:hAnsi="Corbel" w:cs="Arial"/>
                <w:color w:val="000000" w:themeColor="dark1"/>
                <w:kern w:val="24"/>
                <w:sz w:val="16"/>
                <w:szCs w:val="16"/>
                <w:lang w:eastAsia="nl-BE"/>
              </w:rPr>
              <w:t>1250</w:t>
            </w:r>
          </w:p>
        </w:tc>
        <w:tc>
          <w:tcPr>
            <w:tcW w:w="6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839" w:rsidRPr="003405F9" w:rsidRDefault="00517839" w:rsidP="005178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3405F9">
              <w:rPr>
                <w:rFonts w:ascii="Corbel" w:eastAsia="Times New Roman" w:hAnsi="Corbel" w:cs="Arial"/>
                <w:color w:val="000000" w:themeColor="dark1"/>
                <w:kern w:val="24"/>
                <w:sz w:val="16"/>
                <w:szCs w:val="16"/>
                <w:lang w:eastAsia="nl-BE"/>
              </w:rPr>
              <w:t>1495</w:t>
            </w:r>
          </w:p>
        </w:tc>
        <w:tc>
          <w:tcPr>
            <w:tcW w:w="2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839" w:rsidRPr="00517839" w:rsidRDefault="00517839" w:rsidP="0051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  <w:r w:rsidRPr="00517839">
              <w:rPr>
                <w:rFonts w:ascii="Corbel" w:eastAsia="Times New Roman" w:hAnsi="Corbel" w:cs="Arial"/>
                <w:color w:val="000000" w:themeColor="dark1"/>
                <w:kern w:val="24"/>
                <w:sz w:val="36"/>
                <w:szCs w:val="36"/>
                <w:lang w:eastAsia="nl-BE"/>
              </w:rPr>
              <w:t>1500</w:t>
            </w:r>
          </w:p>
        </w:tc>
      </w:tr>
    </w:tbl>
    <w:p w:rsidR="00DF11C1" w:rsidRDefault="00DF11C1" w:rsidP="00945808">
      <w:pPr>
        <w:rPr>
          <w:sz w:val="16"/>
          <w:szCs w:val="16"/>
        </w:rPr>
      </w:pPr>
    </w:p>
    <w:p w:rsidR="00F670F6" w:rsidRDefault="00517839" w:rsidP="00945808">
      <w:pPr>
        <w:rPr>
          <w:sz w:val="16"/>
          <w:szCs w:val="16"/>
        </w:rPr>
      </w:pPr>
      <w:r>
        <w:rPr>
          <w:sz w:val="16"/>
          <w:szCs w:val="16"/>
        </w:rPr>
        <w:t>D</w:t>
      </w:r>
      <w:r w:rsidR="00F670F6">
        <w:rPr>
          <w:sz w:val="16"/>
          <w:szCs w:val="16"/>
        </w:rPr>
        <w:t xml:space="preserve">it alles realiseren </w:t>
      </w:r>
      <w:r w:rsidR="003405F9">
        <w:rPr>
          <w:sz w:val="16"/>
          <w:szCs w:val="16"/>
        </w:rPr>
        <w:t xml:space="preserve">we </w:t>
      </w:r>
      <w:r w:rsidR="00F670F6">
        <w:rPr>
          <w:sz w:val="16"/>
          <w:szCs w:val="16"/>
        </w:rPr>
        <w:t>zonder verhoging van belastingen</w:t>
      </w:r>
      <w:r w:rsidR="003405F9">
        <w:rPr>
          <w:sz w:val="16"/>
          <w:szCs w:val="16"/>
        </w:rPr>
        <w:t>, en met duidelijk lager tarieven dan de gemeenten rondom ons.</w:t>
      </w:r>
      <w:r w:rsidR="00A16E6A">
        <w:rPr>
          <w:sz w:val="16"/>
          <w:szCs w:val="16"/>
        </w:rPr>
        <w:t xml:space="preserve"> </w:t>
      </w:r>
      <w:r w:rsidR="003405F9">
        <w:rPr>
          <w:sz w:val="16"/>
          <w:szCs w:val="16"/>
        </w:rPr>
        <w:t>Een mooier nieuwjaarsgeschenk kunnen we niet geven aan onze bevolking.  Al beseffen we maar al te goed dat alles beter kan.  Daar</w:t>
      </w:r>
      <w:r w:rsidR="00A16E6A">
        <w:rPr>
          <w:sz w:val="16"/>
          <w:szCs w:val="16"/>
        </w:rPr>
        <w:t xml:space="preserve"> </w:t>
      </w:r>
      <w:r w:rsidR="003405F9">
        <w:rPr>
          <w:sz w:val="16"/>
          <w:szCs w:val="16"/>
        </w:rPr>
        <w:t xml:space="preserve">zullen we dan ook </w:t>
      </w:r>
      <w:r w:rsidR="00A16E6A">
        <w:rPr>
          <w:sz w:val="16"/>
          <w:szCs w:val="16"/>
        </w:rPr>
        <w:t xml:space="preserve">voor blijven zorgen. </w:t>
      </w:r>
      <w:r w:rsidR="00F670F6">
        <w:rPr>
          <w:sz w:val="16"/>
          <w:szCs w:val="16"/>
        </w:rPr>
        <w:t xml:space="preserve"> </w:t>
      </w:r>
    </w:p>
    <w:p w:rsidR="00A16E6A" w:rsidRDefault="00A16E6A" w:rsidP="00945808">
      <w:pPr>
        <w:rPr>
          <w:sz w:val="16"/>
          <w:szCs w:val="16"/>
        </w:rPr>
      </w:pPr>
      <w:r>
        <w:rPr>
          <w:sz w:val="16"/>
          <w:szCs w:val="16"/>
        </w:rPr>
        <w:t>Een gelukkig nieuwjaar en voor</w:t>
      </w:r>
      <w:r w:rsidR="008823D2">
        <w:rPr>
          <w:sz w:val="16"/>
          <w:szCs w:val="16"/>
        </w:rPr>
        <w:t>al een goede gezondheid</w:t>
      </w:r>
      <w:r>
        <w:rPr>
          <w:sz w:val="16"/>
          <w:szCs w:val="16"/>
        </w:rPr>
        <w:t>!                                                                                                                                                  Erpe – Mere, december 2015. Wi</w:t>
      </w:r>
      <w:r w:rsidR="00EF57E5">
        <w:rPr>
          <w:sz w:val="16"/>
          <w:szCs w:val="16"/>
        </w:rPr>
        <w:t>lliam De Windt, Eerste schepen.</w:t>
      </w:r>
    </w:p>
    <w:sectPr w:rsidR="00A1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08"/>
    <w:rsid w:val="0005220D"/>
    <w:rsid w:val="0008245C"/>
    <w:rsid w:val="003405F9"/>
    <w:rsid w:val="004B40AF"/>
    <w:rsid w:val="00517839"/>
    <w:rsid w:val="005E1D93"/>
    <w:rsid w:val="005F36E5"/>
    <w:rsid w:val="00863FA4"/>
    <w:rsid w:val="00875333"/>
    <w:rsid w:val="008823D2"/>
    <w:rsid w:val="00945808"/>
    <w:rsid w:val="00A16E6A"/>
    <w:rsid w:val="00DF11C1"/>
    <w:rsid w:val="00E74D50"/>
    <w:rsid w:val="00EF57E5"/>
    <w:rsid w:val="00F6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4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4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Erpe-Mere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Windt William</dc:creator>
  <cp:lastModifiedBy>wesley casteleyn</cp:lastModifiedBy>
  <cp:revision>4</cp:revision>
  <dcterms:created xsi:type="dcterms:W3CDTF">2015-12-28T12:46:00Z</dcterms:created>
  <dcterms:modified xsi:type="dcterms:W3CDTF">2015-12-28T12:49:00Z</dcterms:modified>
</cp:coreProperties>
</file>